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0886" w14:textId="7B6F6D5E" w:rsidR="00492C0D" w:rsidRPr="00B234C8" w:rsidRDefault="00165760" w:rsidP="00B23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</w:t>
      </w:r>
      <w:r w:rsidR="00381482" w:rsidRPr="00B234C8">
        <w:rPr>
          <w:b/>
          <w:sz w:val="28"/>
          <w:szCs w:val="28"/>
        </w:rPr>
        <w:t>20</w:t>
      </w:r>
      <w:r w:rsidR="002416A8">
        <w:rPr>
          <w:b/>
          <w:sz w:val="28"/>
          <w:szCs w:val="28"/>
        </w:rPr>
        <w:t>2</w:t>
      </w:r>
      <w:r w:rsidR="00337E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Annual Meeting</w:t>
      </w:r>
    </w:p>
    <w:p w14:paraId="297067E3" w14:textId="6683A73F" w:rsidR="002416A8" w:rsidRPr="00043571" w:rsidRDefault="0052650F" w:rsidP="004B389C">
      <w:pPr>
        <w:jc w:val="center"/>
        <w:rPr>
          <w:b/>
          <w:bCs/>
          <w:sz w:val="24"/>
          <w:szCs w:val="24"/>
        </w:rPr>
      </w:pPr>
      <w:r w:rsidRPr="00043571">
        <w:rPr>
          <w:b/>
          <w:bCs/>
          <w:sz w:val="24"/>
          <w:szCs w:val="24"/>
        </w:rPr>
        <w:t xml:space="preserve">Dallas, TX: </w:t>
      </w:r>
      <w:r w:rsidR="002416A8" w:rsidRPr="00043571">
        <w:rPr>
          <w:b/>
          <w:bCs/>
          <w:sz w:val="24"/>
          <w:szCs w:val="24"/>
        </w:rPr>
        <w:t>Ju</w:t>
      </w:r>
      <w:r w:rsidR="00337E05" w:rsidRPr="00043571">
        <w:rPr>
          <w:b/>
          <w:bCs/>
          <w:sz w:val="24"/>
          <w:szCs w:val="24"/>
        </w:rPr>
        <w:t>ne 18</w:t>
      </w:r>
      <w:r w:rsidRPr="00043571">
        <w:rPr>
          <w:b/>
          <w:bCs/>
          <w:sz w:val="24"/>
          <w:szCs w:val="24"/>
          <w:vertAlign w:val="superscript"/>
        </w:rPr>
        <w:t xml:space="preserve"> </w:t>
      </w:r>
      <w:r w:rsidRPr="00043571">
        <w:rPr>
          <w:b/>
          <w:bCs/>
          <w:sz w:val="24"/>
          <w:szCs w:val="24"/>
        </w:rPr>
        <w:t>– 19,</w:t>
      </w:r>
      <w:r w:rsidR="00043571" w:rsidRPr="00043571">
        <w:rPr>
          <w:b/>
          <w:bCs/>
          <w:sz w:val="24"/>
          <w:szCs w:val="24"/>
        </w:rPr>
        <w:t xml:space="preserve"> </w:t>
      </w:r>
      <w:r w:rsidRPr="00043571">
        <w:rPr>
          <w:b/>
          <w:bCs/>
          <w:sz w:val="24"/>
          <w:szCs w:val="24"/>
        </w:rPr>
        <w:t>2021</w:t>
      </w:r>
    </w:p>
    <w:p w14:paraId="33857543" w14:textId="7CC3BB69" w:rsidR="008144DF" w:rsidRPr="00043571" w:rsidRDefault="0052650F" w:rsidP="006F3D64">
      <w:pPr>
        <w:tabs>
          <w:tab w:val="left" w:pos="720"/>
        </w:tabs>
        <w:rPr>
          <w:b/>
          <w:bCs/>
        </w:rPr>
      </w:pPr>
      <w:r w:rsidRPr="00043571">
        <w:rPr>
          <w:b/>
          <w:bCs/>
        </w:rPr>
        <w:t xml:space="preserve">Friday, June </w:t>
      </w:r>
      <w:proofErr w:type="gramStart"/>
      <w:r w:rsidRPr="00043571">
        <w:rPr>
          <w:b/>
          <w:bCs/>
        </w:rPr>
        <w:t xml:space="preserve">18 </w:t>
      </w:r>
      <w:r w:rsidR="00043571">
        <w:rPr>
          <w:b/>
          <w:bCs/>
        </w:rPr>
        <w:t xml:space="preserve"> </w:t>
      </w:r>
      <w:r w:rsidRPr="00043571">
        <w:rPr>
          <w:b/>
          <w:bCs/>
        </w:rPr>
        <w:t>–</w:t>
      </w:r>
      <w:proofErr w:type="gramEnd"/>
      <w:r w:rsidR="00043571">
        <w:rPr>
          <w:b/>
          <w:bCs/>
        </w:rPr>
        <w:t xml:space="preserve"> </w:t>
      </w:r>
      <w:r w:rsidRPr="00043571">
        <w:rPr>
          <w:b/>
          <w:bCs/>
        </w:rPr>
        <w:t xml:space="preserve"> Introductory OIT</w:t>
      </w:r>
    </w:p>
    <w:p w14:paraId="28B6B82C" w14:textId="77777777" w:rsidR="00043571" w:rsidRPr="0052650F" w:rsidRDefault="00043571" w:rsidP="00043571">
      <w:r>
        <w:t>1:00 -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114"/>
        <w:gridCol w:w="4098"/>
        <w:gridCol w:w="2245"/>
      </w:tblGrid>
      <w:tr w:rsidR="00C05669" w14:paraId="4AA1F9D4" w14:textId="63F8D9AD" w:rsidTr="00B30AFA">
        <w:tc>
          <w:tcPr>
            <w:tcW w:w="893" w:type="dxa"/>
          </w:tcPr>
          <w:p w14:paraId="16665888" w14:textId="58EC20B9" w:rsidR="00C05669" w:rsidRDefault="00C05669" w:rsidP="002416A8">
            <w:r>
              <w:t>1:30</w:t>
            </w:r>
          </w:p>
        </w:tc>
        <w:tc>
          <w:tcPr>
            <w:tcW w:w="2114" w:type="dxa"/>
          </w:tcPr>
          <w:p w14:paraId="6F5F28AE" w14:textId="33AD26AC" w:rsidR="00C05669" w:rsidRDefault="00C05669" w:rsidP="002416A8">
            <w:r>
              <w:t>Welcome</w:t>
            </w:r>
          </w:p>
        </w:tc>
        <w:tc>
          <w:tcPr>
            <w:tcW w:w="4098" w:type="dxa"/>
          </w:tcPr>
          <w:p w14:paraId="30A87BCB" w14:textId="0EBB1AC9" w:rsidR="00C05669" w:rsidRDefault="00C05669" w:rsidP="002416A8"/>
        </w:tc>
        <w:tc>
          <w:tcPr>
            <w:tcW w:w="2245" w:type="dxa"/>
          </w:tcPr>
          <w:p w14:paraId="5CC3A2F4" w14:textId="3AFF41B9" w:rsidR="00C05669" w:rsidRDefault="00C05669" w:rsidP="002416A8">
            <w:r>
              <w:t>Speaker(s</w:t>
            </w:r>
            <w:r w:rsidR="00185D81">
              <w:t>)</w:t>
            </w:r>
          </w:p>
        </w:tc>
      </w:tr>
      <w:tr w:rsidR="00C05669" w14:paraId="2CF6DA6C" w14:textId="499B29B5" w:rsidTr="00B30AFA">
        <w:tc>
          <w:tcPr>
            <w:tcW w:w="893" w:type="dxa"/>
          </w:tcPr>
          <w:p w14:paraId="358BEB4D" w14:textId="5D966BB2" w:rsidR="00C05669" w:rsidRDefault="004C5EF9" w:rsidP="002416A8">
            <w:r>
              <w:t>1:4</w:t>
            </w:r>
            <w:r w:rsidR="00C05669">
              <w:t>0</w:t>
            </w:r>
          </w:p>
        </w:tc>
        <w:tc>
          <w:tcPr>
            <w:tcW w:w="2114" w:type="dxa"/>
          </w:tcPr>
          <w:p w14:paraId="53CEA73D" w14:textId="1734F6E2" w:rsidR="00C05669" w:rsidRDefault="00240558" w:rsidP="00F911BB">
            <w:r>
              <w:t>P</w:t>
            </w:r>
            <w:r w:rsidR="00C05669">
              <w:t>atient selection</w:t>
            </w:r>
            <w:r w:rsidR="004C5EF9">
              <w:t xml:space="preserve"> - Time out – OIT is not for everyone</w:t>
            </w:r>
          </w:p>
        </w:tc>
        <w:tc>
          <w:tcPr>
            <w:tcW w:w="4098" w:type="dxa"/>
          </w:tcPr>
          <w:p w14:paraId="39F2A6D4" w14:textId="3ED9157D" w:rsidR="00C05669" w:rsidRDefault="00240558" w:rsidP="002416A8">
            <w:r>
              <w:t>T</w:t>
            </w:r>
            <w:r w:rsidR="00C05669">
              <w:t>esting, oral food challenges, patient and family dynamics, OIT intro, goals, FAQs, consent discussion</w:t>
            </w:r>
            <w:r w:rsidR="004C5EF9">
              <w:t xml:space="preserve"> focus on motivation, timing of starting, stopping with early </w:t>
            </w:r>
            <w:proofErr w:type="spellStart"/>
            <w:r w:rsidR="004C5EF9">
              <w:t>rxn</w:t>
            </w:r>
            <w:proofErr w:type="spellEnd"/>
            <w:r w:rsidR="004C5EF9">
              <w:t xml:space="preserve"> and resuming later, multi-food converting to single if </w:t>
            </w:r>
            <w:proofErr w:type="spellStart"/>
            <w:r w:rsidR="004C5EF9">
              <w:t>rxn</w:t>
            </w:r>
            <w:proofErr w:type="spellEnd"/>
            <w:r w:rsidR="004C5EF9">
              <w:t>, varying multi-food goals</w:t>
            </w:r>
          </w:p>
        </w:tc>
        <w:tc>
          <w:tcPr>
            <w:tcW w:w="2245" w:type="dxa"/>
          </w:tcPr>
          <w:p w14:paraId="609BD440" w14:textId="021310D5" w:rsidR="00C05669" w:rsidRDefault="002835BE" w:rsidP="002416A8">
            <w:r>
              <w:t>Jones</w:t>
            </w:r>
          </w:p>
        </w:tc>
      </w:tr>
      <w:tr w:rsidR="004C5EF9" w14:paraId="72FEBDAC" w14:textId="77777777" w:rsidTr="00B30AFA">
        <w:tc>
          <w:tcPr>
            <w:tcW w:w="893" w:type="dxa"/>
          </w:tcPr>
          <w:p w14:paraId="5109975C" w14:textId="43A3C079" w:rsidR="004C5EF9" w:rsidRDefault="004C5EF9" w:rsidP="004C5EF9">
            <w:r>
              <w:t>2:10</w:t>
            </w:r>
          </w:p>
        </w:tc>
        <w:tc>
          <w:tcPr>
            <w:tcW w:w="2114" w:type="dxa"/>
          </w:tcPr>
          <w:p w14:paraId="78007976" w14:textId="115001B2" w:rsidR="004C5EF9" w:rsidRDefault="004C5EF9" w:rsidP="004C5EF9">
            <w:r>
              <w:t>Office preparation</w:t>
            </w:r>
          </w:p>
        </w:tc>
        <w:tc>
          <w:tcPr>
            <w:tcW w:w="4098" w:type="dxa"/>
          </w:tcPr>
          <w:p w14:paraId="4540AA4A" w14:textId="455DCF46" w:rsidR="004C5EF9" w:rsidRDefault="004C5EF9" w:rsidP="004C5EF9">
            <w:r>
              <w:t>Anaphylaxis readiness, staffing, scheduling, space considerations</w:t>
            </w:r>
          </w:p>
        </w:tc>
        <w:tc>
          <w:tcPr>
            <w:tcW w:w="2245" w:type="dxa"/>
          </w:tcPr>
          <w:p w14:paraId="5CD1ADA0" w14:textId="3AE58074" w:rsidR="004C5EF9" w:rsidRDefault="004C5EF9" w:rsidP="004C5EF9">
            <w:r>
              <w:t>Mayer</w:t>
            </w:r>
          </w:p>
        </w:tc>
      </w:tr>
      <w:tr w:rsidR="004C5EF9" w14:paraId="3B3DB5CE" w14:textId="215096A3" w:rsidTr="00B30AFA">
        <w:tc>
          <w:tcPr>
            <w:tcW w:w="893" w:type="dxa"/>
          </w:tcPr>
          <w:p w14:paraId="2C851E8A" w14:textId="38302138" w:rsidR="004C5EF9" w:rsidRDefault="004C5EF9" w:rsidP="004C5EF9">
            <w:r>
              <w:t>2:30</w:t>
            </w:r>
          </w:p>
        </w:tc>
        <w:tc>
          <w:tcPr>
            <w:tcW w:w="2114" w:type="dxa"/>
          </w:tcPr>
          <w:p w14:paraId="09F155B3" w14:textId="03F162CD" w:rsidR="004C5EF9" w:rsidRDefault="004C5EF9" w:rsidP="004C5EF9">
            <w:r>
              <w:t>Protocols</w:t>
            </w:r>
          </w:p>
        </w:tc>
        <w:tc>
          <w:tcPr>
            <w:tcW w:w="4098" w:type="dxa"/>
          </w:tcPr>
          <w:p w14:paraId="0A716509" w14:textId="4FE75439" w:rsidR="004C5EF9" w:rsidRDefault="004C5EF9" w:rsidP="004C5EF9">
            <w:r>
              <w:t>Treatment goals, cross contamination, bite proof, free eating, routine dosing intervals and dosing increments</w:t>
            </w:r>
            <w:r w:rsidR="00B3618F">
              <w:t xml:space="preserve"> during escalation </w:t>
            </w:r>
          </w:p>
        </w:tc>
        <w:tc>
          <w:tcPr>
            <w:tcW w:w="2245" w:type="dxa"/>
          </w:tcPr>
          <w:p w14:paraId="2BAFAFC7" w14:textId="00C7F98C" w:rsidR="004C5EF9" w:rsidRDefault="004C5EF9" w:rsidP="004C5EF9">
            <w:r>
              <w:t>NEFAC – Jason Lee</w:t>
            </w:r>
          </w:p>
        </w:tc>
      </w:tr>
      <w:tr w:rsidR="004C5EF9" w14:paraId="77D5C71D" w14:textId="0DF7377E" w:rsidTr="00B30AFA">
        <w:tc>
          <w:tcPr>
            <w:tcW w:w="893" w:type="dxa"/>
          </w:tcPr>
          <w:p w14:paraId="716F2CAB" w14:textId="5D6E5405" w:rsidR="004C5EF9" w:rsidRDefault="004C5EF9" w:rsidP="004C5EF9">
            <w:r>
              <w:t>2:50</w:t>
            </w:r>
          </w:p>
        </w:tc>
        <w:tc>
          <w:tcPr>
            <w:tcW w:w="2114" w:type="dxa"/>
          </w:tcPr>
          <w:p w14:paraId="51117F66" w14:textId="5737B4DC" w:rsidR="004C5EF9" w:rsidRDefault="004C5EF9" w:rsidP="004C5EF9">
            <w:r>
              <w:t>Food sources</w:t>
            </w:r>
          </w:p>
        </w:tc>
        <w:tc>
          <w:tcPr>
            <w:tcW w:w="4098" w:type="dxa"/>
          </w:tcPr>
          <w:p w14:paraId="27515FD2" w14:textId="633E4F14" w:rsidR="004C5EF9" w:rsidRDefault="004C5EF9" w:rsidP="004C5EF9">
            <w:r>
              <w:t>Low dose and higher dose materials, food prep, color coding solutions/capsules, masking, alternatives, dealing with taste aversion</w:t>
            </w:r>
          </w:p>
        </w:tc>
        <w:tc>
          <w:tcPr>
            <w:tcW w:w="2245" w:type="dxa"/>
          </w:tcPr>
          <w:p w14:paraId="60189A37" w14:textId="6C9A3EC5" w:rsidR="004C5EF9" w:rsidRDefault="004C5EF9" w:rsidP="004C5EF9">
            <w:r>
              <w:t>Deanna Pence, RRT</w:t>
            </w:r>
          </w:p>
        </w:tc>
      </w:tr>
      <w:tr w:rsidR="004C5EF9" w14:paraId="4D47523C" w14:textId="77777777" w:rsidTr="00B30AFA">
        <w:tc>
          <w:tcPr>
            <w:tcW w:w="893" w:type="dxa"/>
          </w:tcPr>
          <w:p w14:paraId="6E12C224" w14:textId="28E6340C" w:rsidR="004C5EF9" w:rsidRDefault="004C5EF9" w:rsidP="004C5EF9">
            <w:r>
              <w:t>3:10</w:t>
            </w:r>
          </w:p>
        </w:tc>
        <w:tc>
          <w:tcPr>
            <w:tcW w:w="2114" w:type="dxa"/>
          </w:tcPr>
          <w:p w14:paraId="60AEBF96" w14:textId="6D893297" w:rsidR="004C5EF9" w:rsidRDefault="004C5EF9" w:rsidP="004C5EF9">
            <w:r>
              <w:t>Panel Q&amp;A</w:t>
            </w:r>
          </w:p>
        </w:tc>
        <w:tc>
          <w:tcPr>
            <w:tcW w:w="4098" w:type="dxa"/>
          </w:tcPr>
          <w:p w14:paraId="2AF8B589" w14:textId="77777777" w:rsidR="004C5EF9" w:rsidRDefault="004C5EF9" w:rsidP="004C5EF9"/>
        </w:tc>
        <w:tc>
          <w:tcPr>
            <w:tcW w:w="2245" w:type="dxa"/>
          </w:tcPr>
          <w:p w14:paraId="22590CA8" w14:textId="083AA59B" w:rsidR="004C5EF9" w:rsidRDefault="004C5EF9" w:rsidP="004C5EF9">
            <w:r>
              <w:t>Jones, Mayer, Lee, Pence</w:t>
            </w:r>
          </w:p>
        </w:tc>
      </w:tr>
      <w:tr w:rsidR="004C5EF9" w14:paraId="4905FDC3" w14:textId="2AE107B9" w:rsidTr="00B30AFA">
        <w:tc>
          <w:tcPr>
            <w:tcW w:w="893" w:type="dxa"/>
          </w:tcPr>
          <w:p w14:paraId="62C4C13B" w14:textId="4366C9A2" w:rsidR="004C5EF9" w:rsidRDefault="004C5EF9" w:rsidP="004C5EF9">
            <w:r>
              <w:t>3:</w:t>
            </w:r>
            <w:r w:rsidR="00185D81">
              <w:t>30</w:t>
            </w:r>
          </w:p>
        </w:tc>
        <w:tc>
          <w:tcPr>
            <w:tcW w:w="2114" w:type="dxa"/>
          </w:tcPr>
          <w:p w14:paraId="3135D94A" w14:textId="1C6851FC" w:rsidR="004C5EF9" w:rsidRDefault="004C5EF9" w:rsidP="004C5EF9">
            <w:r>
              <w:t>Break</w:t>
            </w:r>
          </w:p>
        </w:tc>
        <w:tc>
          <w:tcPr>
            <w:tcW w:w="4098" w:type="dxa"/>
          </w:tcPr>
          <w:p w14:paraId="79DDB216" w14:textId="353CA42C" w:rsidR="004C5EF9" w:rsidRDefault="004C5EF9" w:rsidP="004C5EF9"/>
        </w:tc>
        <w:tc>
          <w:tcPr>
            <w:tcW w:w="2245" w:type="dxa"/>
          </w:tcPr>
          <w:p w14:paraId="15F21296" w14:textId="77777777" w:rsidR="004C5EF9" w:rsidRDefault="004C5EF9" w:rsidP="004C5EF9"/>
        </w:tc>
      </w:tr>
      <w:tr w:rsidR="004C5EF9" w14:paraId="119AAED5" w14:textId="02BFB7D2" w:rsidTr="00B30AFA">
        <w:tc>
          <w:tcPr>
            <w:tcW w:w="893" w:type="dxa"/>
          </w:tcPr>
          <w:p w14:paraId="59818495" w14:textId="59523294" w:rsidR="004C5EF9" w:rsidRDefault="004C5EF9" w:rsidP="004C5EF9">
            <w:r>
              <w:t>3:</w:t>
            </w:r>
            <w:r w:rsidR="00185D81">
              <w:t>50</w:t>
            </w:r>
          </w:p>
        </w:tc>
        <w:tc>
          <w:tcPr>
            <w:tcW w:w="2114" w:type="dxa"/>
          </w:tcPr>
          <w:p w14:paraId="58C82749" w14:textId="7E033F98" w:rsidR="004C5EF9" w:rsidRDefault="004C5EF9" w:rsidP="004C5EF9">
            <w:r>
              <w:t>Office activities</w:t>
            </w:r>
          </w:p>
        </w:tc>
        <w:tc>
          <w:tcPr>
            <w:tcW w:w="4098" w:type="dxa"/>
          </w:tcPr>
          <w:p w14:paraId="11980F96" w14:textId="686CADBF" w:rsidR="004C5EF9" w:rsidRDefault="004C5EF9" w:rsidP="004C5EF9">
            <w:r>
              <w:t>Day 1, record keeping (office/phone/email), updosing, monitoring, supervision, handouts for your practice</w:t>
            </w:r>
          </w:p>
        </w:tc>
        <w:tc>
          <w:tcPr>
            <w:tcW w:w="2245" w:type="dxa"/>
          </w:tcPr>
          <w:p w14:paraId="0FFBB707" w14:textId="1F289E43" w:rsidR="004C5EF9" w:rsidRDefault="004C5EF9" w:rsidP="004C5EF9">
            <w:r>
              <w:t xml:space="preserve">Paul </w:t>
            </w:r>
            <w:proofErr w:type="spellStart"/>
            <w:r>
              <w:t>Detjen</w:t>
            </w:r>
            <w:proofErr w:type="spellEnd"/>
          </w:p>
        </w:tc>
      </w:tr>
      <w:tr w:rsidR="004C5EF9" w14:paraId="5B96E43F" w14:textId="46A942D0" w:rsidTr="00B30AFA">
        <w:tc>
          <w:tcPr>
            <w:tcW w:w="893" w:type="dxa"/>
          </w:tcPr>
          <w:p w14:paraId="7631E3D6" w14:textId="416B32BB" w:rsidR="004C5EF9" w:rsidRDefault="004C5EF9" w:rsidP="004C5EF9">
            <w:r>
              <w:t>4:</w:t>
            </w:r>
            <w:r w:rsidR="00185D81">
              <w:t>1</w:t>
            </w:r>
            <w:r>
              <w:t>0</w:t>
            </w:r>
          </w:p>
        </w:tc>
        <w:tc>
          <w:tcPr>
            <w:tcW w:w="2114" w:type="dxa"/>
          </w:tcPr>
          <w:p w14:paraId="72FE8D5D" w14:textId="249E5790" w:rsidR="004C5EF9" w:rsidRDefault="004C5EF9" w:rsidP="004C5EF9">
            <w:r>
              <w:t>Home activities</w:t>
            </w:r>
          </w:p>
        </w:tc>
        <w:tc>
          <w:tcPr>
            <w:tcW w:w="4098" w:type="dxa"/>
          </w:tcPr>
          <w:p w14:paraId="2A82161B" w14:textId="1EFCA380" w:rsidR="004C5EF9" w:rsidRDefault="004C5EF9" w:rsidP="004C5EF9">
            <w:r>
              <w:t>Dosing and activity, home dosing safety rules, illness and missed doses, uncommon reaction risks (menses, fatigue, sleep deprivation, alcohol)</w:t>
            </w:r>
          </w:p>
        </w:tc>
        <w:tc>
          <w:tcPr>
            <w:tcW w:w="2245" w:type="dxa"/>
          </w:tcPr>
          <w:p w14:paraId="66750A0A" w14:textId="43780484" w:rsidR="004C5EF9" w:rsidRDefault="004C5EF9" w:rsidP="004C5EF9">
            <w:r>
              <w:t>Sakina B</w:t>
            </w:r>
          </w:p>
        </w:tc>
      </w:tr>
      <w:tr w:rsidR="004C5EF9" w14:paraId="68DE9656" w14:textId="330F11BA" w:rsidTr="00B30AFA">
        <w:tc>
          <w:tcPr>
            <w:tcW w:w="893" w:type="dxa"/>
          </w:tcPr>
          <w:p w14:paraId="5E0D321A" w14:textId="4885F70A" w:rsidR="004C5EF9" w:rsidRDefault="004C5EF9" w:rsidP="004C5EF9">
            <w:r>
              <w:t>4:</w:t>
            </w:r>
            <w:r w:rsidR="00185D81">
              <w:t>3</w:t>
            </w:r>
            <w:r>
              <w:t>0</w:t>
            </w:r>
          </w:p>
        </w:tc>
        <w:tc>
          <w:tcPr>
            <w:tcW w:w="2114" w:type="dxa"/>
          </w:tcPr>
          <w:p w14:paraId="3B47F426" w14:textId="2367E44C" w:rsidR="004C5EF9" w:rsidRDefault="004C5EF9" w:rsidP="004C5EF9">
            <w:r>
              <w:t>Managing reactions</w:t>
            </w:r>
          </w:p>
        </w:tc>
        <w:tc>
          <w:tcPr>
            <w:tcW w:w="4098" w:type="dxa"/>
          </w:tcPr>
          <w:p w14:paraId="526E3470" w14:textId="56F3D198" w:rsidR="004C5EF9" w:rsidRDefault="004C5EF9" w:rsidP="004C5EF9">
            <w:r>
              <w:t xml:space="preserve">Oral </w:t>
            </w:r>
            <w:proofErr w:type="spellStart"/>
            <w:r>
              <w:t>rxn</w:t>
            </w:r>
            <w:proofErr w:type="spellEnd"/>
            <w:r>
              <w:t xml:space="preserve">, minor intermittent </w:t>
            </w:r>
            <w:proofErr w:type="spellStart"/>
            <w:r>
              <w:t>rxn</w:t>
            </w:r>
            <w:proofErr w:type="spellEnd"/>
            <w:r>
              <w:t xml:space="preserve">, triggered </w:t>
            </w:r>
            <w:proofErr w:type="spellStart"/>
            <w:r>
              <w:t>rxn</w:t>
            </w:r>
            <w:proofErr w:type="spellEnd"/>
            <w:r>
              <w:t xml:space="preserve">, delayed </w:t>
            </w:r>
            <w:proofErr w:type="spellStart"/>
            <w:r>
              <w:t>rxn</w:t>
            </w:r>
            <w:proofErr w:type="spellEnd"/>
            <w:r>
              <w:t xml:space="preserve">, dose adjustments, Epi use, </w:t>
            </w:r>
            <w:proofErr w:type="spellStart"/>
            <w:r>
              <w:t>premedications</w:t>
            </w:r>
            <w:proofErr w:type="spellEnd"/>
            <w:r>
              <w:t>, probiotics</w:t>
            </w:r>
          </w:p>
        </w:tc>
        <w:tc>
          <w:tcPr>
            <w:tcW w:w="2245" w:type="dxa"/>
          </w:tcPr>
          <w:p w14:paraId="6427DC38" w14:textId="40BAD960" w:rsidR="004C5EF9" w:rsidRDefault="004C5EF9" w:rsidP="004C5EF9">
            <w:r>
              <w:t>Fitzhugh</w:t>
            </w:r>
          </w:p>
        </w:tc>
      </w:tr>
      <w:tr w:rsidR="004C5EF9" w14:paraId="28E2AE2D" w14:textId="68382D67" w:rsidTr="00B30AFA">
        <w:tc>
          <w:tcPr>
            <w:tcW w:w="893" w:type="dxa"/>
          </w:tcPr>
          <w:p w14:paraId="46BF27F1" w14:textId="566322EF" w:rsidR="004C5EF9" w:rsidRDefault="004C5EF9" w:rsidP="004C5EF9">
            <w:r>
              <w:t>4:</w:t>
            </w:r>
            <w:r w:rsidR="00185D81">
              <w:t>5</w:t>
            </w:r>
            <w:r>
              <w:t>0</w:t>
            </w:r>
          </w:p>
        </w:tc>
        <w:tc>
          <w:tcPr>
            <w:tcW w:w="2114" w:type="dxa"/>
          </w:tcPr>
          <w:p w14:paraId="2E6C2756" w14:textId="343FFEAC" w:rsidR="004C5EF9" w:rsidRDefault="00F377A2" w:rsidP="004C5EF9">
            <w:r>
              <w:t xml:space="preserve">Panel </w:t>
            </w:r>
            <w:r w:rsidR="004C5EF9">
              <w:t>Q&amp;</w:t>
            </w:r>
            <w:r>
              <w:t>A</w:t>
            </w:r>
          </w:p>
        </w:tc>
        <w:tc>
          <w:tcPr>
            <w:tcW w:w="4098" w:type="dxa"/>
          </w:tcPr>
          <w:p w14:paraId="062DDF78" w14:textId="77777777" w:rsidR="004C5EF9" w:rsidRDefault="004C5EF9" w:rsidP="004C5EF9"/>
        </w:tc>
        <w:tc>
          <w:tcPr>
            <w:tcW w:w="2245" w:type="dxa"/>
          </w:tcPr>
          <w:p w14:paraId="4E32B92F" w14:textId="5CC14F6E" w:rsidR="004C5EF9" w:rsidRDefault="004C5EF9" w:rsidP="004C5EF9">
            <w:proofErr w:type="spellStart"/>
            <w:r>
              <w:t>Detjen</w:t>
            </w:r>
            <w:proofErr w:type="spellEnd"/>
            <w:r>
              <w:t xml:space="preserve">, </w:t>
            </w:r>
            <w:proofErr w:type="spellStart"/>
            <w:r>
              <w:t>Bajowala</w:t>
            </w:r>
            <w:proofErr w:type="spellEnd"/>
            <w:r>
              <w:t>, Fitzhugh</w:t>
            </w:r>
          </w:p>
        </w:tc>
      </w:tr>
      <w:tr w:rsidR="00F377A2" w14:paraId="27E49D16" w14:textId="77777777" w:rsidTr="00B30AFA">
        <w:tc>
          <w:tcPr>
            <w:tcW w:w="893" w:type="dxa"/>
          </w:tcPr>
          <w:p w14:paraId="0817DC3F" w14:textId="00C22944" w:rsidR="00F377A2" w:rsidRDefault="00F377A2" w:rsidP="004C5EF9">
            <w:r>
              <w:t>5:10</w:t>
            </w:r>
          </w:p>
        </w:tc>
        <w:tc>
          <w:tcPr>
            <w:tcW w:w="2114" w:type="dxa"/>
          </w:tcPr>
          <w:p w14:paraId="16690760" w14:textId="4A826556" w:rsidR="00F377A2" w:rsidRDefault="00F377A2" w:rsidP="004C5EF9">
            <w:r>
              <w:t>Wrap up</w:t>
            </w:r>
          </w:p>
        </w:tc>
        <w:tc>
          <w:tcPr>
            <w:tcW w:w="4098" w:type="dxa"/>
          </w:tcPr>
          <w:p w14:paraId="564CA0FA" w14:textId="77777777" w:rsidR="00F377A2" w:rsidRDefault="00F377A2" w:rsidP="004C5EF9"/>
        </w:tc>
        <w:tc>
          <w:tcPr>
            <w:tcW w:w="2245" w:type="dxa"/>
          </w:tcPr>
          <w:p w14:paraId="54C86C03" w14:textId="77777777" w:rsidR="00F377A2" w:rsidRDefault="00F377A2" w:rsidP="004C5EF9"/>
        </w:tc>
      </w:tr>
      <w:tr w:rsidR="004C5EF9" w14:paraId="15D6A8B3" w14:textId="77777777" w:rsidTr="00B30AFA">
        <w:tc>
          <w:tcPr>
            <w:tcW w:w="893" w:type="dxa"/>
          </w:tcPr>
          <w:p w14:paraId="0552C023" w14:textId="21C0B095" w:rsidR="004C5EF9" w:rsidRDefault="004C5EF9" w:rsidP="004C5EF9">
            <w:r>
              <w:t>6:00</w:t>
            </w:r>
          </w:p>
        </w:tc>
        <w:tc>
          <w:tcPr>
            <w:tcW w:w="2114" w:type="dxa"/>
          </w:tcPr>
          <w:p w14:paraId="52A1B5F0" w14:textId="03B2FA20" w:rsidR="004C5EF9" w:rsidRDefault="004C5EF9" w:rsidP="004C5EF9">
            <w:r>
              <w:t>Cocktails</w:t>
            </w:r>
          </w:p>
        </w:tc>
        <w:tc>
          <w:tcPr>
            <w:tcW w:w="4098" w:type="dxa"/>
          </w:tcPr>
          <w:p w14:paraId="20CD8D02" w14:textId="77777777" w:rsidR="004C5EF9" w:rsidRDefault="004C5EF9" w:rsidP="004C5EF9"/>
        </w:tc>
        <w:tc>
          <w:tcPr>
            <w:tcW w:w="2245" w:type="dxa"/>
          </w:tcPr>
          <w:p w14:paraId="08A750E2" w14:textId="77777777" w:rsidR="004C5EF9" w:rsidRDefault="004C5EF9" w:rsidP="004C5EF9"/>
        </w:tc>
      </w:tr>
      <w:tr w:rsidR="004C5EF9" w14:paraId="0E3F4443" w14:textId="0AF72814" w:rsidTr="00B30AFA">
        <w:tc>
          <w:tcPr>
            <w:tcW w:w="893" w:type="dxa"/>
          </w:tcPr>
          <w:p w14:paraId="17767089" w14:textId="5E690E23" w:rsidR="004C5EF9" w:rsidRDefault="004C5EF9" w:rsidP="004C5EF9">
            <w:r>
              <w:t>7:00</w:t>
            </w:r>
          </w:p>
        </w:tc>
        <w:tc>
          <w:tcPr>
            <w:tcW w:w="2114" w:type="dxa"/>
          </w:tcPr>
          <w:p w14:paraId="35C803F9" w14:textId="113359F9" w:rsidR="004C5EF9" w:rsidRDefault="004C5EF9" w:rsidP="004C5EF9">
            <w:r>
              <w:t>Networking dinner</w:t>
            </w:r>
          </w:p>
        </w:tc>
        <w:tc>
          <w:tcPr>
            <w:tcW w:w="4098" w:type="dxa"/>
          </w:tcPr>
          <w:p w14:paraId="554D36E1" w14:textId="27C56E87" w:rsidR="004C5EF9" w:rsidRDefault="004C5EF9" w:rsidP="004C5EF9"/>
        </w:tc>
        <w:tc>
          <w:tcPr>
            <w:tcW w:w="2245" w:type="dxa"/>
          </w:tcPr>
          <w:p w14:paraId="46C93F3D" w14:textId="77777777" w:rsidR="004C5EF9" w:rsidRDefault="004C5EF9" w:rsidP="004C5EF9"/>
        </w:tc>
      </w:tr>
    </w:tbl>
    <w:p w14:paraId="4B5E93E5" w14:textId="065C9EC6" w:rsidR="002416A8" w:rsidRDefault="002416A8" w:rsidP="002416A8"/>
    <w:p w14:paraId="2A43B898" w14:textId="15E06311" w:rsidR="002416A8" w:rsidRPr="00BD44E7" w:rsidRDefault="002416A8" w:rsidP="00043571">
      <w:pPr>
        <w:rPr>
          <w:b/>
          <w:bCs/>
        </w:rPr>
      </w:pPr>
      <w:r w:rsidRPr="00BD44E7">
        <w:rPr>
          <w:b/>
          <w:bCs/>
        </w:rPr>
        <w:t>Saturday, Ju</w:t>
      </w:r>
      <w:r w:rsidR="009B3848">
        <w:rPr>
          <w:b/>
          <w:bCs/>
        </w:rPr>
        <w:t xml:space="preserve">ne </w:t>
      </w:r>
      <w:proofErr w:type="gramStart"/>
      <w:r w:rsidR="009B3848">
        <w:rPr>
          <w:b/>
          <w:bCs/>
        </w:rPr>
        <w:t>19</w:t>
      </w:r>
      <w:r w:rsidR="00043571">
        <w:rPr>
          <w:b/>
          <w:bCs/>
          <w:vertAlign w:val="superscript"/>
        </w:rPr>
        <w:t xml:space="preserve">  </w:t>
      </w:r>
      <w:r w:rsidR="00043571" w:rsidRPr="00043571">
        <w:rPr>
          <w:b/>
          <w:bCs/>
        </w:rPr>
        <w:t>–</w:t>
      </w:r>
      <w:proofErr w:type="gramEnd"/>
      <w:r w:rsidR="00043571" w:rsidRPr="00043571">
        <w:rPr>
          <w:b/>
          <w:bCs/>
        </w:rPr>
        <w:t xml:space="preserve"> </w:t>
      </w:r>
      <w:r w:rsidR="00043571">
        <w:rPr>
          <w:b/>
          <w:bCs/>
        </w:rPr>
        <w:t xml:space="preserve"> </w:t>
      </w:r>
      <w:r w:rsidRPr="00BD44E7">
        <w:rPr>
          <w:b/>
          <w:bCs/>
        </w:rPr>
        <w:t>Advances in Food OIT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2342"/>
        <w:gridCol w:w="3760"/>
        <w:gridCol w:w="2245"/>
      </w:tblGrid>
      <w:tr w:rsidR="001C2354" w14:paraId="6C342724" w14:textId="2F0BF35A" w:rsidTr="00B30AFA">
        <w:tc>
          <w:tcPr>
            <w:tcW w:w="1003" w:type="dxa"/>
          </w:tcPr>
          <w:p w14:paraId="2AFA5175" w14:textId="721B696D" w:rsidR="001C2354" w:rsidRDefault="001C2354" w:rsidP="00943274">
            <w:r>
              <w:t>7:30</w:t>
            </w:r>
          </w:p>
        </w:tc>
        <w:tc>
          <w:tcPr>
            <w:tcW w:w="2342" w:type="dxa"/>
          </w:tcPr>
          <w:p w14:paraId="6013BAA9" w14:textId="0BF0921D" w:rsidR="001C2354" w:rsidRDefault="001C2354" w:rsidP="00943274">
            <w:r>
              <w:t>Registration</w:t>
            </w:r>
          </w:p>
        </w:tc>
        <w:tc>
          <w:tcPr>
            <w:tcW w:w="3760" w:type="dxa"/>
          </w:tcPr>
          <w:p w14:paraId="6FECD855" w14:textId="1619C9C7" w:rsidR="001C2354" w:rsidRDefault="001C2354" w:rsidP="00943274">
            <w:r>
              <w:t>Breakfast</w:t>
            </w:r>
            <w:r w:rsidR="0064284A">
              <w:t xml:space="preserve"> in restaurant</w:t>
            </w:r>
            <w:r w:rsidR="00B23996">
              <w:t xml:space="preserve"> (included </w:t>
            </w:r>
            <w:r w:rsidR="00185D81">
              <w:t>with</w:t>
            </w:r>
            <w:r w:rsidR="00B23996">
              <w:t xml:space="preserve"> room)</w:t>
            </w:r>
          </w:p>
        </w:tc>
        <w:tc>
          <w:tcPr>
            <w:tcW w:w="2245" w:type="dxa"/>
          </w:tcPr>
          <w:p w14:paraId="78839E48" w14:textId="77777777" w:rsidR="001C2354" w:rsidRDefault="001C2354" w:rsidP="00943274"/>
        </w:tc>
      </w:tr>
      <w:tr w:rsidR="001C2354" w14:paraId="3E25574E" w14:textId="6C5C2125" w:rsidTr="00B30AFA">
        <w:tc>
          <w:tcPr>
            <w:tcW w:w="1003" w:type="dxa"/>
          </w:tcPr>
          <w:p w14:paraId="27CE906F" w14:textId="1D694F39" w:rsidR="001C2354" w:rsidRDefault="00B23996" w:rsidP="00943274">
            <w:r>
              <w:t>7</w:t>
            </w:r>
            <w:r w:rsidR="001C2354">
              <w:t>:</w:t>
            </w:r>
            <w:r>
              <w:t>5</w:t>
            </w:r>
            <w:r w:rsidR="001C2354">
              <w:t>0</w:t>
            </w:r>
          </w:p>
        </w:tc>
        <w:tc>
          <w:tcPr>
            <w:tcW w:w="2342" w:type="dxa"/>
          </w:tcPr>
          <w:p w14:paraId="3A87ABA5" w14:textId="68E5405D" w:rsidR="001C2354" w:rsidRDefault="001C2354" w:rsidP="00943274">
            <w:r>
              <w:t>Welcome</w:t>
            </w:r>
          </w:p>
        </w:tc>
        <w:tc>
          <w:tcPr>
            <w:tcW w:w="3760" w:type="dxa"/>
          </w:tcPr>
          <w:p w14:paraId="01D0B110" w14:textId="3DE3111E" w:rsidR="001C2354" w:rsidRDefault="001C2354" w:rsidP="00943274"/>
        </w:tc>
        <w:tc>
          <w:tcPr>
            <w:tcW w:w="2245" w:type="dxa"/>
          </w:tcPr>
          <w:p w14:paraId="25708559" w14:textId="77777777" w:rsidR="001C2354" w:rsidRDefault="001C2354" w:rsidP="00943274"/>
        </w:tc>
      </w:tr>
      <w:tr w:rsidR="001C2354" w14:paraId="580D51BF" w14:textId="68B87960" w:rsidTr="00B30AFA">
        <w:tc>
          <w:tcPr>
            <w:tcW w:w="1003" w:type="dxa"/>
          </w:tcPr>
          <w:p w14:paraId="3993106C" w14:textId="6C111093" w:rsidR="001C2354" w:rsidRDefault="001C2354" w:rsidP="00943274">
            <w:r>
              <w:t>8:</w:t>
            </w:r>
            <w:r w:rsidR="00B23996">
              <w:t>0</w:t>
            </w:r>
            <w:r>
              <w:t>0</w:t>
            </w:r>
          </w:p>
        </w:tc>
        <w:tc>
          <w:tcPr>
            <w:tcW w:w="2342" w:type="dxa"/>
          </w:tcPr>
          <w:p w14:paraId="59E9DBD8" w14:textId="65B5D38E" w:rsidR="001C2354" w:rsidRDefault="009D51B8" w:rsidP="00943274">
            <w:r>
              <w:t>Recipes for success: OIT foods at home</w:t>
            </w:r>
          </w:p>
        </w:tc>
        <w:tc>
          <w:tcPr>
            <w:tcW w:w="3760" w:type="dxa"/>
          </w:tcPr>
          <w:p w14:paraId="7BA3DAC9" w14:textId="53F0E5F4" w:rsidR="001C2354" w:rsidRDefault="001C2354" w:rsidP="00943274">
            <w:r>
              <w:t xml:space="preserve">Liquids, capsules, serial solid (mashed potato); conversion tables to facilitate </w:t>
            </w:r>
            <w:r>
              <w:lastRenderedPageBreak/>
              <w:t>switching food source, recording doses in both protein amounts and total food measures</w:t>
            </w:r>
            <w:r w:rsidR="00B3618F">
              <w:t>, cooking, baking or other denaturants of OIT foods</w:t>
            </w:r>
          </w:p>
        </w:tc>
        <w:tc>
          <w:tcPr>
            <w:tcW w:w="2245" w:type="dxa"/>
          </w:tcPr>
          <w:p w14:paraId="0815541C" w14:textId="0601DF42" w:rsidR="001C2354" w:rsidRDefault="00C77E27" w:rsidP="00943274">
            <w:r>
              <w:lastRenderedPageBreak/>
              <w:t>Jones</w:t>
            </w:r>
          </w:p>
        </w:tc>
      </w:tr>
      <w:tr w:rsidR="001C2354" w14:paraId="2F801139" w14:textId="35486FCB" w:rsidTr="00B30AFA">
        <w:tc>
          <w:tcPr>
            <w:tcW w:w="1003" w:type="dxa"/>
          </w:tcPr>
          <w:p w14:paraId="1205E8A0" w14:textId="0B81EE0B" w:rsidR="001C2354" w:rsidRDefault="001C2354" w:rsidP="00943274">
            <w:r>
              <w:t>8:</w:t>
            </w:r>
            <w:r w:rsidR="00B23996">
              <w:t>2</w:t>
            </w:r>
            <w:r>
              <w:t>0</w:t>
            </w:r>
          </w:p>
        </w:tc>
        <w:tc>
          <w:tcPr>
            <w:tcW w:w="2342" w:type="dxa"/>
          </w:tcPr>
          <w:p w14:paraId="07BA0C9C" w14:textId="68371753" w:rsidR="001C2354" w:rsidRDefault="001C2354" w:rsidP="00943274">
            <w:r>
              <w:t>Infants and toddlers</w:t>
            </w:r>
          </w:p>
        </w:tc>
        <w:tc>
          <w:tcPr>
            <w:tcW w:w="3760" w:type="dxa"/>
          </w:tcPr>
          <w:p w14:paraId="07825EEB" w14:textId="5F774661" w:rsidR="001C2354" w:rsidRDefault="001C2354" w:rsidP="00943274">
            <w:r>
              <w:t xml:space="preserve">JACI In </w:t>
            </w:r>
            <w:proofErr w:type="spellStart"/>
            <w:r>
              <w:t>Pract</w:t>
            </w:r>
            <w:proofErr w:type="spellEnd"/>
            <w:r>
              <w:t xml:space="preserve"> 3/21, criteria for short </w:t>
            </w:r>
            <w:r w:rsidR="00B3618F">
              <w:t xml:space="preserve">term </w:t>
            </w:r>
            <w:r>
              <w:t>food</w:t>
            </w:r>
            <w:r w:rsidR="004C17E4">
              <w:t xml:space="preserve"> allergies</w:t>
            </w:r>
            <w:r w:rsidR="00B3618F">
              <w:t xml:space="preserve"> (e.g., milk, egg or wheat)</w:t>
            </w:r>
            <w:r>
              <w:t xml:space="preserve"> vs long </w:t>
            </w:r>
            <w:r w:rsidR="00B3618F">
              <w:t xml:space="preserve">term </w:t>
            </w:r>
            <w:r>
              <w:t>ones</w:t>
            </w:r>
            <w:r w:rsidR="00B3618F">
              <w:t xml:space="preserve"> (nuts and seeds)</w:t>
            </w:r>
            <w:r>
              <w:t>, same protocol</w:t>
            </w:r>
            <w:r w:rsidR="00B3618F">
              <w:t>, target and maintenance doses</w:t>
            </w:r>
            <w:r>
              <w:t>?</w:t>
            </w:r>
            <w:r w:rsidR="004C17E4">
              <w:t xml:space="preserve"> Reaction recognition and treatment in infants and toddlers</w:t>
            </w:r>
          </w:p>
        </w:tc>
        <w:tc>
          <w:tcPr>
            <w:tcW w:w="2245" w:type="dxa"/>
          </w:tcPr>
          <w:p w14:paraId="36F58C5F" w14:textId="5917D6F1" w:rsidR="001C2354" w:rsidRDefault="003D0FBD" w:rsidP="00943274">
            <w:r>
              <w:t>Ly</w:t>
            </w:r>
          </w:p>
        </w:tc>
      </w:tr>
      <w:tr w:rsidR="001C2354" w14:paraId="3416D560" w14:textId="0516F940" w:rsidTr="00B30AFA">
        <w:tc>
          <w:tcPr>
            <w:tcW w:w="1003" w:type="dxa"/>
          </w:tcPr>
          <w:p w14:paraId="60C5E0A0" w14:textId="181A0892" w:rsidR="001C2354" w:rsidRDefault="00B23996" w:rsidP="00943274">
            <w:r>
              <w:t>8</w:t>
            </w:r>
            <w:r w:rsidR="001C2354">
              <w:t>:</w:t>
            </w:r>
            <w:r>
              <w:t>4</w:t>
            </w:r>
            <w:r w:rsidR="004C5026">
              <w:t>0</w:t>
            </w:r>
          </w:p>
        </w:tc>
        <w:tc>
          <w:tcPr>
            <w:tcW w:w="2342" w:type="dxa"/>
          </w:tcPr>
          <w:p w14:paraId="22473910" w14:textId="7DD3E0A9" w:rsidR="001C2354" w:rsidRDefault="004C5EF9" w:rsidP="00943274">
            <w:r>
              <w:t>GI adverse reactions including</w:t>
            </w:r>
            <w:r w:rsidR="001C2354">
              <w:t xml:space="preserve"> ELORS management</w:t>
            </w:r>
          </w:p>
        </w:tc>
        <w:tc>
          <w:tcPr>
            <w:tcW w:w="3760" w:type="dxa"/>
          </w:tcPr>
          <w:p w14:paraId="2164D39C" w14:textId="5F1CDCB5" w:rsidR="001C2354" w:rsidRDefault="009567F4" w:rsidP="00943274">
            <w:r>
              <w:t>ELORS</w:t>
            </w:r>
            <w:r w:rsidR="004C5EF9">
              <w:t xml:space="preserve"> </w:t>
            </w:r>
            <w:r w:rsidR="00B3618F">
              <w:t xml:space="preserve">– </w:t>
            </w:r>
            <w:r w:rsidR="004C5EF9">
              <w:t>predictors</w:t>
            </w:r>
            <w:r w:rsidR="00B3618F">
              <w:t>,</w:t>
            </w:r>
            <w:r>
              <w:t xml:space="preserve"> eval</w:t>
            </w:r>
            <w:r w:rsidR="00B3618F">
              <w:t>uation</w:t>
            </w:r>
            <w:r>
              <w:t>, drug treatment, dose adjustment,</w:t>
            </w:r>
            <w:r w:rsidR="001C2354">
              <w:t xml:space="preserve"> </w:t>
            </w:r>
            <w:r w:rsidR="00B3618F">
              <w:t>Is</w:t>
            </w:r>
            <w:r w:rsidR="001C2354">
              <w:t xml:space="preserve"> EoE</w:t>
            </w:r>
            <w:r w:rsidR="00B3618F">
              <w:t xml:space="preserve"> a relative, absolute or no contraindication to OIT if it was associated with</w:t>
            </w:r>
            <w:r w:rsidR="001C2354">
              <w:t xml:space="preserve"> non-OIT food</w:t>
            </w:r>
            <w:r w:rsidR="00B3618F">
              <w:t>. What about an OIT food?</w:t>
            </w:r>
          </w:p>
        </w:tc>
        <w:tc>
          <w:tcPr>
            <w:tcW w:w="2245" w:type="dxa"/>
          </w:tcPr>
          <w:p w14:paraId="5D64AC78" w14:textId="1C5379EB" w:rsidR="001C2354" w:rsidRDefault="00C77E27" w:rsidP="00943274">
            <w:r>
              <w:t xml:space="preserve">Wasserman, </w:t>
            </w:r>
          </w:p>
        </w:tc>
      </w:tr>
      <w:tr w:rsidR="001C2354" w14:paraId="2AAB4795" w14:textId="7A39557A" w:rsidTr="00B30AFA">
        <w:tc>
          <w:tcPr>
            <w:tcW w:w="1003" w:type="dxa"/>
          </w:tcPr>
          <w:p w14:paraId="22284F8D" w14:textId="39C79385" w:rsidR="001C2354" w:rsidRDefault="001C2354" w:rsidP="00943274">
            <w:r>
              <w:t>9:</w:t>
            </w:r>
            <w:r w:rsidR="00B23996">
              <w:t>0</w:t>
            </w:r>
            <w:r>
              <w:t>0</w:t>
            </w:r>
          </w:p>
        </w:tc>
        <w:tc>
          <w:tcPr>
            <w:tcW w:w="2342" w:type="dxa"/>
          </w:tcPr>
          <w:p w14:paraId="7F809974" w14:textId="6C8E78EC" w:rsidR="001C2354" w:rsidRDefault="001C2354" w:rsidP="00943274">
            <w:r>
              <w:t>Multi-food OIT</w:t>
            </w:r>
          </w:p>
        </w:tc>
        <w:tc>
          <w:tcPr>
            <w:tcW w:w="3760" w:type="dxa"/>
          </w:tcPr>
          <w:p w14:paraId="038BF10E" w14:textId="097155D9" w:rsidR="001C2354" w:rsidRDefault="00B3618F" w:rsidP="00943274">
            <w:r>
              <w:t>How many foods is too many? Are there foods that shouldn’t be done simultaneously?</w:t>
            </w:r>
            <w:r w:rsidR="00C77E27">
              <w:t xml:space="preserve"> </w:t>
            </w:r>
            <w:r>
              <w:t>A</w:t>
            </w:r>
            <w:r w:rsidR="001C2354">
              <w:t>ny role for pecan/</w:t>
            </w:r>
            <w:proofErr w:type="gramStart"/>
            <w:r w:rsidR="001C2354">
              <w:t>pistachio?,</w:t>
            </w:r>
            <w:proofErr w:type="gramEnd"/>
            <w:r w:rsidR="001C2354">
              <w:t xml:space="preserve"> </w:t>
            </w:r>
            <w:r>
              <w:t xml:space="preserve">What about beans, lentils and other legumes (try for cross-reactivity or do multiples) </w:t>
            </w:r>
            <w:r w:rsidR="004C17E4">
              <w:t>This should include some “how to do it”</w:t>
            </w:r>
            <w:r>
              <w:t>. Day one dose adjustment. Customization based on taste or problems.</w:t>
            </w:r>
          </w:p>
        </w:tc>
        <w:tc>
          <w:tcPr>
            <w:tcW w:w="2245" w:type="dxa"/>
          </w:tcPr>
          <w:p w14:paraId="04911A04" w14:textId="013452B0" w:rsidR="001C2354" w:rsidRDefault="00D630F2" w:rsidP="00943274">
            <w:r>
              <w:t>Jen</w:t>
            </w:r>
            <w:r w:rsidR="003D0FBD">
              <w:t xml:space="preserve"> </w:t>
            </w:r>
            <w:r>
              <w:t>Fergeson</w:t>
            </w:r>
          </w:p>
        </w:tc>
      </w:tr>
      <w:tr w:rsidR="001C2354" w14:paraId="4E000040" w14:textId="4D9FC61F" w:rsidTr="00B30AFA">
        <w:tc>
          <w:tcPr>
            <w:tcW w:w="1003" w:type="dxa"/>
          </w:tcPr>
          <w:p w14:paraId="755B5CED" w14:textId="4DAF54DD" w:rsidR="001C2354" w:rsidRDefault="001C2354" w:rsidP="00943274">
            <w:r>
              <w:t>9:</w:t>
            </w:r>
            <w:r w:rsidR="00FB30A9">
              <w:t>2</w:t>
            </w:r>
            <w:r>
              <w:t>0</w:t>
            </w:r>
          </w:p>
        </w:tc>
        <w:tc>
          <w:tcPr>
            <w:tcW w:w="2342" w:type="dxa"/>
          </w:tcPr>
          <w:p w14:paraId="4D08D639" w14:textId="334FC0F3" w:rsidR="001C2354" w:rsidRDefault="00C079F3" w:rsidP="00943274">
            <w:r>
              <w:t>Preliminary data from Registry</w:t>
            </w:r>
          </w:p>
        </w:tc>
        <w:tc>
          <w:tcPr>
            <w:tcW w:w="3760" w:type="dxa"/>
          </w:tcPr>
          <w:p w14:paraId="670F38B9" w14:textId="12DB0760" w:rsidR="001C2354" w:rsidRDefault="00C079F3" w:rsidP="00943274">
            <w:r>
              <w:t xml:space="preserve">Single vs </w:t>
            </w:r>
            <w:proofErr w:type="spellStart"/>
            <w:r>
              <w:t>mult</w:t>
            </w:r>
            <w:proofErr w:type="spellEnd"/>
            <w:r>
              <w:t xml:space="preserve">-food cases, epi reactions, </w:t>
            </w:r>
            <w:proofErr w:type="spellStart"/>
            <w:r>
              <w:t>rxn</w:t>
            </w:r>
            <w:proofErr w:type="spellEnd"/>
            <w:r>
              <w:t xml:space="preserve"> triggers, </w:t>
            </w:r>
            <w:proofErr w:type="spellStart"/>
            <w:r>
              <w:t>Maint</w:t>
            </w:r>
            <w:proofErr w:type="spellEnd"/>
            <w:r>
              <w:t xml:space="preserve">. </w:t>
            </w:r>
            <w:proofErr w:type="spellStart"/>
            <w:r>
              <w:t>Rxn</w:t>
            </w:r>
            <w:proofErr w:type="spellEnd"/>
            <w:r>
              <w:t xml:space="preserve"> (dosing interval, </w:t>
            </w:r>
            <w:proofErr w:type="spellStart"/>
            <w:r>
              <w:t>sIgE</w:t>
            </w:r>
            <w:proofErr w:type="spellEnd"/>
            <w:r>
              <w:t>)</w:t>
            </w:r>
          </w:p>
        </w:tc>
        <w:tc>
          <w:tcPr>
            <w:tcW w:w="2245" w:type="dxa"/>
          </w:tcPr>
          <w:p w14:paraId="058075B9" w14:textId="32679F01" w:rsidR="001C2354" w:rsidRDefault="00D630F2" w:rsidP="00943274">
            <w:r>
              <w:t>Windom</w:t>
            </w:r>
            <w:r w:rsidR="00B3618F">
              <w:t xml:space="preserve"> – do you want to collect simple data from a few high enrollers?</w:t>
            </w:r>
          </w:p>
        </w:tc>
      </w:tr>
      <w:tr w:rsidR="00B23996" w14:paraId="1ACD6A4C" w14:textId="77777777" w:rsidTr="00B30AFA">
        <w:tc>
          <w:tcPr>
            <w:tcW w:w="1003" w:type="dxa"/>
          </w:tcPr>
          <w:p w14:paraId="3EC4E65C" w14:textId="5A577322" w:rsidR="00B23996" w:rsidRDefault="00B23996" w:rsidP="00943274">
            <w:r>
              <w:t>9:</w:t>
            </w:r>
            <w:r w:rsidR="00FB30A9">
              <w:t>4</w:t>
            </w:r>
            <w:r>
              <w:t>0</w:t>
            </w:r>
          </w:p>
        </w:tc>
        <w:tc>
          <w:tcPr>
            <w:tcW w:w="2342" w:type="dxa"/>
          </w:tcPr>
          <w:p w14:paraId="22C62B7E" w14:textId="603BAAE7" w:rsidR="00B23996" w:rsidRDefault="00B23996" w:rsidP="00943274">
            <w:r>
              <w:t>Panel Q&amp;A</w:t>
            </w:r>
          </w:p>
        </w:tc>
        <w:tc>
          <w:tcPr>
            <w:tcW w:w="3760" w:type="dxa"/>
          </w:tcPr>
          <w:p w14:paraId="277F52F9" w14:textId="77777777" w:rsidR="00B23996" w:rsidRDefault="00B23996" w:rsidP="00943274"/>
        </w:tc>
        <w:tc>
          <w:tcPr>
            <w:tcW w:w="2245" w:type="dxa"/>
          </w:tcPr>
          <w:p w14:paraId="5A9ED7E6" w14:textId="1EBA8B1D" w:rsidR="00B23996" w:rsidRDefault="004C5EF9" w:rsidP="00943274">
            <w:r>
              <w:t>Previous speakers</w:t>
            </w:r>
          </w:p>
        </w:tc>
      </w:tr>
      <w:tr w:rsidR="001C2354" w14:paraId="66545BED" w14:textId="2C30E13F" w:rsidTr="00B30AFA">
        <w:tc>
          <w:tcPr>
            <w:tcW w:w="1003" w:type="dxa"/>
          </w:tcPr>
          <w:p w14:paraId="59C8386E" w14:textId="67E8B8D0" w:rsidR="001C2354" w:rsidRDefault="001C2354" w:rsidP="00943274">
            <w:r>
              <w:t>10:</w:t>
            </w:r>
            <w:r w:rsidR="00FB30A9">
              <w:t>0</w:t>
            </w:r>
            <w:r>
              <w:t>0</w:t>
            </w:r>
          </w:p>
        </w:tc>
        <w:tc>
          <w:tcPr>
            <w:tcW w:w="2342" w:type="dxa"/>
          </w:tcPr>
          <w:p w14:paraId="7129BE48" w14:textId="64D76BB1" w:rsidR="001C2354" w:rsidRDefault="001C2354" w:rsidP="00943274">
            <w:r>
              <w:t>Break</w:t>
            </w:r>
          </w:p>
        </w:tc>
        <w:tc>
          <w:tcPr>
            <w:tcW w:w="3760" w:type="dxa"/>
          </w:tcPr>
          <w:p w14:paraId="6975C6B1" w14:textId="77777777" w:rsidR="001C2354" w:rsidRDefault="001C2354" w:rsidP="00943274"/>
        </w:tc>
        <w:tc>
          <w:tcPr>
            <w:tcW w:w="2245" w:type="dxa"/>
          </w:tcPr>
          <w:p w14:paraId="6A3DF9B6" w14:textId="77777777" w:rsidR="001C2354" w:rsidRDefault="001C2354" w:rsidP="00943274"/>
        </w:tc>
      </w:tr>
      <w:tr w:rsidR="001C2354" w14:paraId="10B361FD" w14:textId="66A1B46D" w:rsidTr="00B30AFA">
        <w:tc>
          <w:tcPr>
            <w:tcW w:w="1003" w:type="dxa"/>
          </w:tcPr>
          <w:p w14:paraId="4D5774F4" w14:textId="6606FF1E" w:rsidR="001C2354" w:rsidRDefault="001C2354" w:rsidP="007513F7">
            <w:r>
              <w:t>10:</w:t>
            </w:r>
            <w:r w:rsidR="00FB30A9">
              <w:t>2</w:t>
            </w:r>
            <w:r>
              <w:t>0</w:t>
            </w:r>
          </w:p>
        </w:tc>
        <w:tc>
          <w:tcPr>
            <w:tcW w:w="2342" w:type="dxa"/>
          </w:tcPr>
          <w:p w14:paraId="2F2E9706" w14:textId="6F8E50F8" w:rsidR="001C2354" w:rsidRDefault="00597F6B" w:rsidP="007513F7">
            <w:r>
              <w:t>Early introduction of allergenic foods</w:t>
            </w:r>
          </w:p>
        </w:tc>
        <w:tc>
          <w:tcPr>
            <w:tcW w:w="3760" w:type="dxa"/>
          </w:tcPr>
          <w:p w14:paraId="2964879D" w14:textId="312B25FE" w:rsidR="001C2354" w:rsidRDefault="00597F6B" w:rsidP="007513F7">
            <w:r>
              <w:t>Proprietary products, lit review</w:t>
            </w:r>
            <w:r w:rsidR="00BD7683">
              <w:t xml:space="preserve"> on value of early intro peanut/egg vs others, eliciting dose challenges</w:t>
            </w:r>
          </w:p>
        </w:tc>
        <w:tc>
          <w:tcPr>
            <w:tcW w:w="2245" w:type="dxa"/>
          </w:tcPr>
          <w:p w14:paraId="6493965B" w14:textId="0A6480E7" w:rsidR="001C2354" w:rsidRDefault="00597F6B" w:rsidP="007513F7">
            <w:proofErr w:type="spellStart"/>
            <w:r>
              <w:t>Sugerman</w:t>
            </w:r>
            <w:proofErr w:type="spellEnd"/>
          </w:p>
        </w:tc>
      </w:tr>
      <w:tr w:rsidR="001C2354" w14:paraId="3F6FD2A3" w14:textId="5E2ED4B2" w:rsidTr="00B30AFA">
        <w:tc>
          <w:tcPr>
            <w:tcW w:w="1003" w:type="dxa"/>
          </w:tcPr>
          <w:p w14:paraId="7434D3BA" w14:textId="43122D42" w:rsidR="001C2354" w:rsidRDefault="00FB30A9" w:rsidP="007513F7">
            <w:r>
              <w:t>10:40</w:t>
            </w:r>
          </w:p>
        </w:tc>
        <w:tc>
          <w:tcPr>
            <w:tcW w:w="2342" w:type="dxa"/>
          </w:tcPr>
          <w:p w14:paraId="29AB7CE2" w14:textId="53193CA2" w:rsidR="001C2354" w:rsidRDefault="00597F6B" w:rsidP="007513F7">
            <w:r>
              <w:t>A gentler approach</w:t>
            </w:r>
          </w:p>
        </w:tc>
        <w:tc>
          <w:tcPr>
            <w:tcW w:w="3760" w:type="dxa"/>
          </w:tcPr>
          <w:p w14:paraId="32E2BCC0" w14:textId="549875BF" w:rsidR="001C2354" w:rsidRDefault="00597F6B" w:rsidP="007513F7">
            <w:r>
              <w:t xml:space="preserve">SLIT vs. slow and low dose OIT, </w:t>
            </w:r>
            <w:proofErr w:type="spellStart"/>
            <w:r>
              <w:t>Ebisawa</w:t>
            </w:r>
            <w:proofErr w:type="spellEnd"/>
            <w:r>
              <w:t xml:space="preserve"> low dose, families not ready for OIT, early OIT reactors</w:t>
            </w:r>
          </w:p>
        </w:tc>
        <w:tc>
          <w:tcPr>
            <w:tcW w:w="2245" w:type="dxa"/>
          </w:tcPr>
          <w:p w14:paraId="45A28C87" w14:textId="5504DCF7" w:rsidR="001C2354" w:rsidRDefault="0025706D" w:rsidP="007513F7">
            <w:r>
              <w:t>Chacko</w:t>
            </w:r>
          </w:p>
        </w:tc>
      </w:tr>
      <w:tr w:rsidR="001C2354" w14:paraId="39A5401A" w14:textId="07F5E50C" w:rsidTr="00B30AFA">
        <w:tc>
          <w:tcPr>
            <w:tcW w:w="1003" w:type="dxa"/>
          </w:tcPr>
          <w:p w14:paraId="3FF09C98" w14:textId="2B5F1CD0" w:rsidR="001C2354" w:rsidRDefault="001C2354" w:rsidP="007513F7">
            <w:r>
              <w:t>11:</w:t>
            </w:r>
            <w:r w:rsidR="00FB30A9">
              <w:t>0</w:t>
            </w:r>
            <w:r>
              <w:t>0</w:t>
            </w:r>
          </w:p>
        </w:tc>
        <w:tc>
          <w:tcPr>
            <w:tcW w:w="2342" w:type="dxa"/>
          </w:tcPr>
          <w:p w14:paraId="0CB443D8" w14:textId="7BB0516F" w:rsidR="001C2354" w:rsidRDefault="001C2354" w:rsidP="007513F7">
            <w:r>
              <w:t xml:space="preserve"> OIT</w:t>
            </w:r>
            <w:r w:rsidR="00166A4C">
              <w:t xml:space="preserve"> with uncommon foods or biologics</w:t>
            </w:r>
          </w:p>
        </w:tc>
        <w:tc>
          <w:tcPr>
            <w:tcW w:w="3760" w:type="dxa"/>
          </w:tcPr>
          <w:p w14:paraId="7A9B7A06" w14:textId="4E355261" w:rsidR="001C2354" w:rsidRDefault="009567F4" w:rsidP="007513F7">
            <w:r>
              <w:t>Fish and shellfish</w:t>
            </w:r>
            <w:r w:rsidR="00166A4C">
              <w:t xml:space="preserve"> </w:t>
            </w:r>
            <w:r w:rsidR="00D630F2">
              <w:t>–</w:t>
            </w:r>
            <w:r w:rsidR="00166A4C">
              <w:t xml:space="preserve"> </w:t>
            </w:r>
            <w:r w:rsidR="00D630F2">
              <w:t xml:space="preserve">is there a </w:t>
            </w:r>
            <w:r w:rsidR="00166A4C">
              <w:t xml:space="preserve">dominant food with cross </w:t>
            </w:r>
            <w:proofErr w:type="gramStart"/>
            <w:r w:rsidR="00166A4C">
              <w:t>protection?,</w:t>
            </w:r>
            <w:proofErr w:type="gramEnd"/>
            <w:r w:rsidR="00166A4C">
              <w:t xml:space="preserve"> role of biologics</w:t>
            </w:r>
          </w:p>
        </w:tc>
        <w:tc>
          <w:tcPr>
            <w:tcW w:w="2245" w:type="dxa"/>
          </w:tcPr>
          <w:p w14:paraId="7F60B434" w14:textId="3EEB5B20" w:rsidR="001C2354" w:rsidRDefault="0025706D" w:rsidP="007513F7">
            <w:r>
              <w:t>John James</w:t>
            </w:r>
          </w:p>
        </w:tc>
      </w:tr>
      <w:tr w:rsidR="001C2354" w14:paraId="0EFAAEBE" w14:textId="3BEE2D98" w:rsidTr="00B30AFA">
        <w:tc>
          <w:tcPr>
            <w:tcW w:w="1003" w:type="dxa"/>
          </w:tcPr>
          <w:p w14:paraId="169BFEAC" w14:textId="7AE11740" w:rsidR="001C2354" w:rsidRDefault="001C2354" w:rsidP="007513F7">
            <w:r>
              <w:t>11:</w:t>
            </w:r>
            <w:r w:rsidR="00FB30A9">
              <w:t>2</w:t>
            </w:r>
            <w:r>
              <w:t>0</w:t>
            </w:r>
          </w:p>
        </w:tc>
        <w:tc>
          <w:tcPr>
            <w:tcW w:w="2342" w:type="dxa"/>
          </w:tcPr>
          <w:p w14:paraId="7985BED5" w14:textId="2DAD2BB5" w:rsidR="001C2354" w:rsidRDefault="004C5EF9" w:rsidP="007513F7">
            <w:r>
              <w:t>20 OIT Mistakes to Avoid</w:t>
            </w:r>
          </w:p>
        </w:tc>
        <w:tc>
          <w:tcPr>
            <w:tcW w:w="3760" w:type="dxa"/>
          </w:tcPr>
          <w:p w14:paraId="1AF6F3FB" w14:textId="77E0F7E1" w:rsidR="001C2354" w:rsidRDefault="00185D81" w:rsidP="007513F7">
            <w:r>
              <w:t>Sage words from Jim B.</w:t>
            </w:r>
          </w:p>
        </w:tc>
        <w:tc>
          <w:tcPr>
            <w:tcW w:w="2245" w:type="dxa"/>
          </w:tcPr>
          <w:p w14:paraId="3B58000D" w14:textId="35129343" w:rsidR="001C2354" w:rsidRDefault="00C079F3" w:rsidP="007513F7">
            <w:r>
              <w:t>Baker</w:t>
            </w:r>
          </w:p>
        </w:tc>
      </w:tr>
      <w:tr w:rsidR="004C5026" w14:paraId="14C50560" w14:textId="77777777" w:rsidTr="00B30AFA">
        <w:tc>
          <w:tcPr>
            <w:tcW w:w="1003" w:type="dxa"/>
          </w:tcPr>
          <w:p w14:paraId="57E63274" w14:textId="2845DB3A" w:rsidR="004C5026" w:rsidRDefault="004C5026" w:rsidP="007513F7">
            <w:r>
              <w:t>1</w:t>
            </w:r>
            <w:r w:rsidR="00B23996">
              <w:t>1</w:t>
            </w:r>
            <w:r>
              <w:t>:</w:t>
            </w:r>
            <w:r w:rsidR="00FB30A9">
              <w:t>4</w:t>
            </w:r>
            <w:r>
              <w:t>0</w:t>
            </w:r>
          </w:p>
        </w:tc>
        <w:tc>
          <w:tcPr>
            <w:tcW w:w="2342" w:type="dxa"/>
          </w:tcPr>
          <w:p w14:paraId="352A6D53" w14:textId="527535F7" w:rsidR="004C5026" w:rsidRDefault="0089552A" w:rsidP="007513F7">
            <w:r>
              <w:t xml:space="preserve">Panel </w:t>
            </w:r>
            <w:r w:rsidR="004C5026">
              <w:t>Q&amp;A</w:t>
            </w:r>
          </w:p>
        </w:tc>
        <w:tc>
          <w:tcPr>
            <w:tcW w:w="3760" w:type="dxa"/>
          </w:tcPr>
          <w:p w14:paraId="37B0D32F" w14:textId="77777777" w:rsidR="004C5026" w:rsidRDefault="004C5026" w:rsidP="007513F7"/>
        </w:tc>
        <w:tc>
          <w:tcPr>
            <w:tcW w:w="2245" w:type="dxa"/>
          </w:tcPr>
          <w:p w14:paraId="15A2773C" w14:textId="65A19588" w:rsidR="004C5026" w:rsidRDefault="004C5EF9" w:rsidP="007513F7">
            <w:r>
              <w:t>Not a panel – have a moderator and morning speakers can stand up and respond</w:t>
            </w:r>
          </w:p>
        </w:tc>
      </w:tr>
      <w:tr w:rsidR="001C2354" w14:paraId="67A4406D" w14:textId="3A06D8C7" w:rsidTr="00B30AFA">
        <w:tc>
          <w:tcPr>
            <w:tcW w:w="1003" w:type="dxa"/>
          </w:tcPr>
          <w:p w14:paraId="686D48DF" w14:textId="75A435DF" w:rsidR="001C2354" w:rsidRDefault="001C2354" w:rsidP="007513F7">
            <w:r>
              <w:t>12:</w:t>
            </w:r>
            <w:r w:rsidR="00185D81">
              <w:t>0</w:t>
            </w:r>
            <w:r>
              <w:t>0</w:t>
            </w:r>
          </w:p>
        </w:tc>
        <w:tc>
          <w:tcPr>
            <w:tcW w:w="2342" w:type="dxa"/>
          </w:tcPr>
          <w:p w14:paraId="439186A0" w14:textId="18D95FFB" w:rsidR="001C2354" w:rsidRDefault="001C2354" w:rsidP="007513F7">
            <w:r>
              <w:t>Lunch</w:t>
            </w:r>
          </w:p>
        </w:tc>
        <w:tc>
          <w:tcPr>
            <w:tcW w:w="3760" w:type="dxa"/>
          </w:tcPr>
          <w:p w14:paraId="40E68C61" w14:textId="77777777" w:rsidR="001C2354" w:rsidRDefault="001C2354" w:rsidP="007513F7"/>
        </w:tc>
        <w:tc>
          <w:tcPr>
            <w:tcW w:w="2245" w:type="dxa"/>
          </w:tcPr>
          <w:p w14:paraId="33B70CE8" w14:textId="77777777" w:rsidR="001C2354" w:rsidRDefault="001C2354" w:rsidP="007513F7"/>
        </w:tc>
      </w:tr>
      <w:tr w:rsidR="001C2354" w14:paraId="2AFEB87E" w14:textId="1076E61E" w:rsidTr="00B30AFA">
        <w:tc>
          <w:tcPr>
            <w:tcW w:w="1003" w:type="dxa"/>
          </w:tcPr>
          <w:p w14:paraId="72E38A53" w14:textId="37B3907E" w:rsidR="001C2354" w:rsidRDefault="001C2354" w:rsidP="007513F7">
            <w:r>
              <w:t>12:</w:t>
            </w:r>
            <w:r w:rsidR="0089552A">
              <w:t>3</w:t>
            </w:r>
            <w:r>
              <w:t>0</w:t>
            </w:r>
          </w:p>
        </w:tc>
        <w:tc>
          <w:tcPr>
            <w:tcW w:w="2342" w:type="dxa"/>
          </w:tcPr>
          <w:p w14:paraId="1E3E74AF" w14:textId="7A2D1780" w:rsidR="001C2354" w:rsidRDefault="001C2354" w:rsidP="007513F7">
            <w:r>
              <w:t>Long term management</w:t>
            </w:r>
          </w:p>
        </w:tc>
        <w:tc>
          <w:tcPr>
            <w:tcW w:w="3760" w:type="dxa"/>
          </w:tcPr>
          <w:p w14:paraId="5D0F3204" w14:textId="59210A48" w:rsidR="001C2354" w:rsidRDefault="008352FB" w:rsidP="007513F7">
            <w:r>
              <w:t>V</w:t>
            </w:r>
            <w:r w:rsidR="001C2354">
              <w:t>alue in annual lab</w:t>
            </w:r>
            <w:r>
              <w:t>/</w:t>
            </w:r>
            <w:r w:rsidR="001C2354">
              <w:t xml:space="preserve">skin testing, annual high dose </w:t>
            </w:r>
            <w:r>
              <w:t>OFC</w:t>
            </w:r>
            <w:r w:rsidR="001C2354">
              <w:t xml:space="preserve">, reduced dose </w:t>
            </w:r>
            <w:r w:rsidR="001C2354">
              <w:lastRenderedPageBreak/>
              <w:t>frequency</w:t>
            </w:r>
            <w:r>
              <w:t>/</w:t>
            </w:r>
            <w:r w:rsidR="001C2354">
              <w:t>activity rules</w:t>
            </w:r>
            <w:r w:rsidR="004C5EF9">
              <w:t>, sustained unresponsiveness</w:t>
            </w:r>
          </w:p>
        </w:tc>
        <w:tc>
          <w:tcPr>
            <w:tcW w:w="2245" w:type="dxa"/>
          </w:tcPr>
          <w:p w14:paraId="3C66CB77" w14:textId="283E889A" w:rsidR="001C2354" w:rsidRDefault="00C77E27" w:rsidP="007513F7">
            <w:r>
              <w:lastRenderedPageBreak/>
              <w:t>Windom</w:t>
            </w:r>
          </w:p>
        </w:tc>
      </w:tr>
      <w:tr w:rsidR="001C2354" w14:paraId="75960A43" w14:textId="4E986168" w:rsidTr="00B30AFA">
        <w:tc>
          <w:tcPr>
            <w:tcW w:w="1003" w:type="dxa"/>
          </w:tcPr>
          <w:p w14:paraId="6E5E32D6" w14:textId="7EBAFB93" w:rsidR="001C2354" w:rsidRDefault="001C2354" w:rsidP="007513F7">
            <w:r>
              <w:t>1</w:t>
            </w:r>
            <w:r w:rsidR="0089552A">
              <w:t>2</w:t>
            </w:r>
            <w:r>
              <w:t>:</w:t>
            </w:r>
            <w:r w:rsidR="0089552A">
              <w:t>5</w:t>
            </w:r>
            <w:r>
              <w:t>0</w:t>
            </w:r>
          </w:p>
        </w:tc>
        <w:tc>
          <w:tcPr>
            <w:tcW w:w="2342" w:type="dxa"/>
          </w:tcPr>
          <w:p w14:paraId="2ED12B3D" w14:textId="601F11BA" w:rsidR="001C2354" w:rsidRDefault="00597F6B" w:rsidP="007513F7">
            <w:r>
              <w:t xml:space="preserve">Trouble Shooting Panel: Reactions in buildup and maintenance </w:t>
            </w:r>
          </w:p>
        </w:tc>
        <w:tc>
          <w:tcPr>
            <w:tcW w:w="3760" w:type="dxa"/>
          </w:tcPr>
          <w:p w14:paraId="2974816D" w14:textId="2D161BFC" w:rsidR="001C2354" w:rsidRDefault="004C5EF9" w:rsidP="007513F7">
            <w:r>
              <w:t xml:space="preserve">Include a brief presentation from Paul </w:t>
            </w:r>
            <w:proofErr w:type="spellStart"/>
            <w:r>
              <w:t>Detjen’s</w:t>
            </w:r>
            <w:proofErr w:type="spellEnd"/>
            <w:r>
              <w:t xml:space="preserve"> PA on maintenance reactions</w:t>
            </w:r>
          </w:p>
        </w:tc>
        <w:tc>
          <w:tcPr>
            <w:tcW w:w="2245" w:type="dxa"/>
          </w:tcPr>
          <w:p w14:paraId="46DDB011" w14:textId="0DAAD473" w:rsidR="001C2354" w:rsidRDefault="00BD7683" w:rsidP="007513F7">
            <w:r>
              <w:t>Mayer</w:t>
            </w:r>
            <w:r w:rsidR="0025706D">
              <w:t>, Fitzhugh</w:t>
            </w:r>
            <w:r w:rsidR="00C079F3">
              <w:t>, Sakina</w:t>
            </w:r>
          </w:p>
        </w:tc>
      </w:tr>
      <w:tr w:rsidR="001C2354" w14:paraId="0501FDFE" w14:textId="41B85B7C" w:rsidTr="00B30AFA">
        <w:tc>
          <w:tcPr>
            <w:tcW w:w="1003" w:type="dxa"/>
          </w:tcPr>
          <w:p w14:paraId="1A7BB625" w14:textId="66523361" w:rsidR="001C2354" w:rsidRDefault="001C2354" w:rsidP="007513F7">
            <w:r>
              <w:t>1:</w:t>
            </w:r>
            <w:r w:rsidR="0089552A">
              <w:t>1</w:t>
            </w:r>
            <w:r>
              <w:t>0</w:t>
            </w:r>
          </w:p>
        </w:tc>
        <w:tc>
          <w:tcPr>
            <w:tcW w:w="2342" w:type="dxa"/>
          </w:tcPr>
          <w:p w14:paraId="170771C0" w14:textId="5C18EE20" w:rsidR="001C2354" w:rsidRDefault="004C5EF9" w:rsidP="007513F7">
            <w:r>
              <w:t>Using BAT to avoid challenges and monitor OIT</w:t>
            </w:r>
          </w:p>
        </w:tc>
        <w:tc>
          <w:tcPr>
            <w:tcW w:w="3760" w:type="dxa"/>
          </w:tcPr>
          <w:p w14:paraId="13A39118" w14:textId="5C6D6670" w:rsidR="001C2354" w:rsidRDefault="001C2354" w:rsidP="007513F7"/>
        </w:tc>
        <w:tc>
          <w:tcPr>
            <w:tcW w:w="2245" w:type="dxa"/>
          </w:tcPr>
          <w:p w14:paraId="589A7FAF" w14:textId="636028C2" w:rsidR="001C2354" w:rsidRDefault="004C5EF9" w:rsidP="007513F7">
            <w:r>
              <w:t xml:space="preserve">Diane </w:t>
            </w:r>
            <w:proofErr w:type="spellStart"/>
            <w:r>
              <w:t>LeDuc</w:t>
            </w:r>
            <w:proofErr w:type="spellEnd"/>
            <w:r w:rsidDel="004C5EF9">
              <w:t xml:space="preserve"> </w:t>
            </w:r>
            <w:r w:rsidR="0089552A">
              <w:t>or Oral Alpen</w:t>
            </w:r>
          </w:p>
        </w:tc>
      </w:tr>
      <w:tr w:rsidR="004C5EF9" w14:paraId="3DEB4796" w14:textId="3A213C09" w:rsidTr="00B30AFA">
        <w:tc>
          <w:tcPr>
            <w:tcW w:w="1003" w:type="dxa"/>
          </w:tcPr>
          <w:p w14:paraId="19A9B623" w14:textId="7A8A0F8A" w:rsidR="004C5EF9" w:rsidRDefault="004C5EF9" w:rsidP="004C5EF9">
            <w:r>
              <w:t>1:</w:t>
            </w:r>
            <w:r w:rsidR="0089552A">
              <w:t>3</w:t>
            </w:r>
            <w:r>
              <w:t>0</w:t>
            </w:r>
          </w:p>
        </w:tc>
        <w:tc>
          <w:tcPr>
            <w:tcW w:w="2342" w:type="dxa"/>
          </w:tcPr>
          <w:p w14:paraId="1EBD1A4F" w14:textId="04FBCB2B" w:rsidR="004C5EF9" w:rsidRDefault="004C5EF9" w:rsidP="004C5EF9">
            <w:r>
              <w:t>Parent &amp; child food allergy and OIT anxiety</w:t>
            </w:r>
          </w:p>
        </w:tc>
        <w:tc>
          <w:tcPr>
            <w:tcW w:w="3760" w:type="dxa"/>
          </w:tcPr>
          <w:p w14:paraId="57A70803" w14:textId="77777777" w:rsidR="004C5EF9" w:rsidRDefault="004C5EF9" w:rsidP="004C5EF9"/>
        </w:tc>
        <w:tc>
          <w:tcPr>
            <w:tcW w:w="2245" w:type="dxa"/>
          </w:tcPr>
          <w:p w14:paraId="2808E87B" w14:textId="5726A459" w:rsidR="004C5EF9" w:rsidRDefault="004C5EF9" w:rsidP="004C5EF9">
            <w:r>
              <w:t>Victoria Nguyen, PhD</w:t>
            </w:r>
            <w:r w:rsidR="0089552A">
              <w:t xml:space="preserve"> or M. Yassin</w:t>
            </w:r>
          </w:p>
        </w:tc>
      </w:tr>
      <w:tr w:rsidR="004C5EF9" w14:paraId="1E1C78FD" w14:textId="78CB8DE6" w:rsidTr="00B30AFA">
        <w:tc>
          <w:tcPr>
            <w:tcW w:w="1003" w:type="dxa"/>
          </w:tcPr>
          <w:p w14:paraId="26D7C1F6" w14:textId="4860EC0F" w:rsidR="004C5EF9" w:rsidRDefault="0089552A" w:rsidP="004C5EF9">
            <w:r>
              <w:t>1</w:t>
            </w:r>
            <w:r w:rsidR="004C5EF9">
              <w:t>:</w:t>
            </w:r>
            <w:r>
              <w:t>5</w:t>
            </w:r>
            <w:r w:rsidR="004C5EF9">
              <w:t>0</w:t>
            </w:r>
          </w:p>
        </w:tc>
        <w:tc>
          <w:tcPr>
            <w:tcW w:w="2342" w:type="dxa"/>
          </w:tcPr>
          <w:p w14:paraId="3E38B0EA" w14:textId="078F37C9" w:rsidR="004C5EF9" w:rsidRDefault="004C5EF9" w:rsidP="004C5EF9">
            <w:r>
              <w:t>Quality of life before, during and after OIT</w:t>
            </w:r>
          </w:p>
        </w:tc>
        <w:tc>
          <w:tcPr>
            <w:tcW w:w="3760" w:type="dxa"/>
          </w:tcPr>
          <w:p w14:paraId="1FE7E3D7" w14:textId="2A8991BA" w:rsidR="004C5EF9" w:rsidRDefault="004C5EF9" w:rsidP="004C5EF9">
            <w:r>
              <w:t>Discussion of available tools</w:t>
            </w:r>
          </w:p>
        </w:tc>
        <w:tc>
          <w:tcPr>
            <w:tcW w:w="2245" w:type="dxa"/>
          </w:tcPr>
          <w:p w14:paraId="340F9AE1" w14:textId="004BEAF3" w:rsidR="004C5EF9" w:rsidRDefault="004C5EF9" w:rsidP="004C5EF9">
            <w:r>
              <w:t>NEFAC</w:t>
            </w:r>
            <w:r w:rsidDel="004C5EF9">
              <w:t xml:space="preserve"> </w:t>
            </w:r>
          </w:p>
        </w:tc>
      </w:tr>
      <w:tr w:rsidR="0089552A" w:rsidDel="00166A4C" w14:paraId="1C591B10" w14:textId="77777777" w:rsidTr="00B30AFA">
        <w:tc>
          <w:tcPr>
            <w:tcW w:w="1003" w:type="dxa"/>
          </w:tcPr>
          <w:p w14:paraId="086A92E3" w14:textId="25BBAA19" w:rsidR="0089552A" w:rsidRDefault="0089552A" w:rsidP="004C5EF9">
            <w:r>
              <w:t>2:10</w:t>
            </w:r>
          </w:p>
        </w:tc>
        <w:tc>
          <w:tcPr>
            <w:tcW w:w="2342" w:type="dxa"/>
          </w:tcPr>
          <w:p w14:paraId="7B91BB32" w14:textId="6AB89657" w:rsidR="0089552A" w:rsidRDefault="0089552A" w:rsidP="004C5EF9">
            <w:r>
              <w:t>Panel Q&amp;A</w:t>
            </w:r>
          </w:p>
        </w:tc>
        <w:tc>
          <w:tcPr>
            <w:tcW w:w="3760" w:type="dxa"/>
          </w:tcPr>
          <w:p w14:paraId="20C757DD" w14:textId="77777777" w:rsidR="0089552A" w:rsidDel="00166A4C" w:rsidRDefault="0089552A" w:rsidP="004C5EF9"/>
        </w:tc>
        <w:tc>
          <w:tcPr>
            <w:tcW w:w="2245" w:type="dxa"/>
          </w:tcPr>
          <w:p w14:paraId="1A8285F0" w14:textId="794B7A2C" w:rsidR="0089552A" w:rsidRDefault="0089552A" w:rsidP="004C5EF9">
            <w:r>
              <w:t xml:space="preserve">Windom, </w:t>
            </w:r>
            <w:proofErr w:type="spellStart"/>
            <w:r>
              <w:t>LeDuc</w:t>
            </w:r>
            <w:proofErr w:type="spellEnd"/>
            <w:r>
              <w:t>, Nguyen, NEFAC</w:t>
            </w:r>
          </w:p>
        </w:tc>
      </w:tr>
      <w:tr w:rsidR="004C5EF9" w:rsidDel="00166A4C" w14:paraId="620BA0F2" w14:textId="77777777" w:rsidTr="00B30AFA">
        <w:tc>
          <w:tcPr>
            <w:tcW w:w="1003" w:type="dxa"/>
          </w:tcPr>
          <w:p w14:paraId="21A23DDB" w14:textId="494CD31D" w:rsidR="004C5EF9" w:rsidDel="00166A4C" w:rsidRDefault="004C5EF9" w:rsidP="004C5EF9">
            <w:r>
              <w:t>2:</w:t>
            </w:r>
            <w:r w:rsidR="0089552A">
              <w:t>30</w:t>
            </w:r>
          </w:p>
        </w:tc>
        <w:tc>
          <w:tcPr>
            <w:tcW w:w="2342" w:type="dxa"/>
          </w:tcPr>
          <w:p w14:paraId="682BC855" w14:textId="21561BB0" w:rsidR="004C5EF9" w:rsidDel="00166A4C" w:rsidRDefault="004C5EF9" w:rsidP="004C5EF9">
            <w:r>
              <w:t>Closing Q&amp;A</w:t>
            </w:r>
          </w:p>
        </w:tc>
        <w:tc>
          <w:tcPr>
            <w:tcW w:w="3760" w:type="dxa"/>
          </w:tcPr>
          <w:p w14:paraId="72B1538C" w14:textId="2CBB5F5D" w:rsidR="004C5EF9" w:rsidDel="00166A4C" w:rsidRDefault="004C5EF9" w:rsidP="004C5EF9"/>
        </w:tc>
        <w:tc>
          <w:tcPr>
            <w:tcW w:w="2245" w:type="dxa"/>
          </w:tcPr>
          <w:p w14:paraId="17DF0691" w14:textId="2B465086" w:rsidR="004C5EF9" w:rsidDel="00166A4C" w:rsidRDefault="004C5EF9" w:rsidP="004C5EF9">
            <w:r>
              <w:t>Not a panel – have a moderator and speakers can stand up and respond</w:t>
            </w:r>
            <w:r w:rsidDel="004C5EF9">
              <w:t xml:space="preserve"> </w:t>
            </w:r>
          </w:p>
        </w:tc>
      </w:tr>
      <w:tr w:rsidR="004C5EF9" w14:paraId="3D5BF9E0" w14:textId="6D89974B" w:rsidTr="00B30AFA">
        <w:tc>
          <w:tcPr>
            <w:tcW w:w="1003" w:type="dxa"/>
          </w:tcPr>
          <w:p w14:paraId="0BB515A4" w14:textId="486702B4" w:rsidR="004C5EF9" w:rsidRDefault="004C5EF9" w:rsidP="004C5EF9">
            <w:r>
              <w:t xml:space="preserve">3:00 </w:t>
            </w:r>
          </w:p>
        </w:tc>
        <w:tc>
          <w:tcPr>
            <w:tcW w:w="2342" w:type="dxa"/>
          </w:tcPr>
          <w:p w14:paraId="3D0BFB3C" w14:textId="6D453557" w:rsidR="004C5EF9" w:rsidRDefault="004C5EF9" w:rsidP="004C5EF9">
            <w:r>
              <w:t>Dismiss</w:t>
            </w:r>
          </w:p>
        </w:tc>
        <w:tc>
          <w:tcPr>
            <w:tcW w:w="3760" w:type="dxa"/>
          </w:tcPr>
          <w:p w14:paraId="0FB211A7" w14:textId="273960CC" w:rsidR="004C5EF9" w:rsidRDefault="004C5EF9" w:rsidP="004C5EF9">
            <w:r>
              <w:t xml:space="preserve">Catch </w:t>
            </w:r>
            <w:r w:rsidRPr="00CA199F">
              <w:rPr>
                <w:u w:val="single"/>
              </w:rPr>
              <w:t>&gt;</w:t>
            </w:r>
            <w:r>
              <w:t xml:space="preserve"> 4:30 pm flights</w:t>
            </w:r>
          </w:p>
        </w:tc>
        <w:tc>
          <w:tcPr>
            <w:tcW w:w="2245" w:type="dxa"/>
          </w:tcPr>
          <w:p w14:paraId="527E00FF" w14:textId="77777777" w:rsidR="004C5EF9" w:rsidRDefault="004C5EF9" w:rsidP="004C5EF9"/>
        </w:tc>
      </w:tr>
    </w:tbl>
    <w:p w14:paraId="65D3D3BD" w14:textId="77777777" w:rsidR="002D4108" w:rsidRDefault="002D4108" w:rsidP="00F50A27"/>
    <w:sectPr w:rsidR="002D4108" w:rsidSect="00F929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715"/>
    <w:multiLevelType w:val="multilevel"/>
    <w:tmpl w:val="C18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C2016"/>
    <w:multiLevelType w:val="hybridMultilevel"/>
    <w:tmpl w:val="3AF4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82"/>
    <w:rsid w:val="00035F24"/>
    <w:rsid w:val="00043571"/>
    <w:rsid w:val="00056ABC"/>
    <w:rsid w:val="00071EB2"/>
    <w:rsid w:val="00081D84"/>
    <w:rsid w:val="000A7D2E"/>
    <w:rsid w:val="000E5CFA"/>
    <w:rsid w:val="001264BF"/>
    <w:rsid w:val="00152125"/>
    <w:rsid w:val="00165760"/>
    <w:rsid w:val="00166A4C"/>
    <w:rsid w:val="001746F5"/>
    <w:rsid w:val="00185D81"/>
    <w:rsid w:val="001A025E"/>
    <w:rsid w:val="001A18B3"/>
    <w:rsid w:val="001C2354"/>
    <w:rsid w:val="001C42E3"/>
    <w:rsid w:val="001F6221"/>
    <w:rsid w:val="00240558"/>
    <w:rsid w:val="002416A8"/>
    <w:rsid w:val="0025706D"/>
    <w:rsid w:val="0026212B"/>
    <w:rsid w:val="002835BE"/>
    <w:rsid w:val="002A1D65"/>
    <w:rsid w:val="002A7A36"/>
    <w:rsid w:val="002B388D"/>
    <w:rsid w:val="002D4108"/>
    <w:rsid w:val="00303C6C"/>
    <w:rsid w:val="00337E05"/>
    <w:rsid w:val="003605B8"/>
    <w:rsid w:val="00381482"/>
    <w:rsid w:val="00385CE6"/>
    <w:rsid w:val="003A285F"/>
    <w:rsid w:val="003A56DD"/>
    <w:rsid w:val="003B25C4"/>
    <w:rsid w:val="003D0FBD"/>
    <w:rsid w:val="00492C0D"/>
    <w:rsid w:val="004A0935"/>
    <w:rsid w:val="004B389C"/>
    <w:rsid w:val="004C17E4"/>
    <w:rsid w:val="004C5026"/>
    <w:rsid w:val="004C5EF9"/>
    <w:rsid w:val="004D0318"/>
    <w:rsid w:val="004E217B"/>
    <w:rsid w:val="0052650F"/>
    <w:rsid w:val="00597F6B"/>
    <w:rsid w:val="005B7BF2"/>
    <w:rsid w:val="005F2F66"/>
    <w:rsid w:val="00627E4F"/>
    <w:rsid w:val="0064284A"/>
    <w:rsid w:val="006514B6"/>
    <w:rsid w:val="00663429"/>
    <w:rsid w:val="00666FE7"/>
    <w:rsid w:val="0068463E"/>
    <w:rsid w:val="006A3155"/>
    <w:rsid w:val="006B5FC0"/>
    <w:rsid w:val="006C654F"/>
    <w:rsid w:val="006F3D64"/>
    <w:rsid w:val="00726150"/>
    <w:rsid w:val="007513F7"/>
    <w:rsid w:val="00782256"/>
    <w:rsid w:val="007B0F8C"/>
    <w:rsid w:val="008144DF"/>
    <w:rsid w:val="00814838"/>
    <w:rsid w:val="008352FB"/>
    <w:rsid w:val="00840F97"/>
    <w:rsid w:val="0089552A"/>
    <w:rsid w:val="009218DB"/>
    <w:rsid w:val="00922581"/>
    <w:rsid w:val="00922AFB"/>
    <w:rsid w:val="00943274"/>
    <w:rsid w:val="009567F4"/>
    <w:rsid w:val="0098077D"/>
    <w:rsid w:val="009B3848"/>
    <w:rsid w:val="009D51B8"/>
    <w:rsid w:val="009F4230"/>
    <w:rsid w:val="00A03D89"/>
    <w:rsid w:val="00A111A2"/>
    <w:rsid w:val="00A15913"/>
    <w:rsid w:val="00A82E32"/>
    <w:rsid w:val="00A91B1E"/>
    <w:rsid w:val="00AD25B9"/>
    <w:rsid w:val="00AF7FB8"/>
    <w:rsid w:val="00B234C8"/>
    <w:rsid w:val="00B23996"/>
    <w:rsid w:val="00B30AFA"/>
    <w:rsid w:val="00B3618F"/>
    <w:rsid w:val="00B47FCF"/>
    <w:rsid w:val="00BA4FF5"/>
    <w:rsid w:val="00BA7D37"/>
    <w:rsid w:val="00BD44E7"/>
    <w:rsid w:val="00BD7683"/>
    <w:rsid w:val="00C05669"/>
    <w:rsid w:val="00C079F3"/>
    <w:rsid w:val="00C77E27"/>
    <w:rsid w:val="00CA199F"/>
    <w:rsid w:val="00D0770E"/>
    <w:rsid w:val="00D630F2"/>
    <w:rsid w:val="00D86CD8"/>
    <w:rsid w:val="00D943EA"/>
    <w:rsid w:val="00DA464A"/>
    <w:rsid w:val="00DB27FB"/>
    <w:rsid w:val="00DF2E91"/>
    <w:rsid w:val="00E420C1"/>
    <w:rsid w:val="00E44411"/>
    <w:rsid w:val="00E45AC7"/>
    <w:rsid w:val="00EB5EA5"/>
    <w:rsid w:val="00EC383E"/>
    <w:rsid w:val="00F26506"/>
    <w:rsid w:val="00F377A2"/>
    <w:rsid w:val="00F466EC"/>
    <w:rsid w:val="00F50A27"/>
    <w:rsid w:val="00F55ECC"/>
    <w:rsid w:val="00F911BB"/>
    <w:rsid w:val="00F9294A"/>
    <w:rsid w:val="00FB30A9"/>
    <w:rsid w:val="00FC2C19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F61B6"/>
  <w15:docId w15:val="{EE390DDB-6C3B-9946-84B8-7586E27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C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5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6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1B8C-3A22-7F42-927B-1FFD701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Windom Allergy</dc:creator>
  <cp:lastModifiedBy>Richard Wasserman</cp:lastModifiedBy>
  <cp:revision>2</cp:revision>
  <cp:lastPrinted>2018-06-01T15:33:00Z</cp:lastPrinted>
  <dcterms:created xsi:type="dcterms:W3CDTF">2021-06-20T19:40:00Z</dcterms:created>
  <dcterms:modified xsi:type="dcterms:W3CDTF">2021-06-20T19:40:00Z</dcterms:modified>
</cp:coreProperties>
</file>